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D7" w:rsidRDefault="000816D7" w:rsidP="00B03F49">
      <w:pPr>
        <w:pBdr>
          <w:top w:val="single" w:sz="4" w:space="1" w:color="auto"/>
          <w:left w:val="single" w:sz="4" w:space="4" w:color="auto"/>
          <w:bottom w:val="single" w:sz="4" w:space="1" w:color="auto"/>
          <w:right w:val="single" w:sz="4" w:space="4" w:color="auto"/>
        </w:pBdr>
        <w:spacing w:before="100" w:beforeAutospacing="1" w:after="0" w:line="240" w:lineRule="auto"/>
        <w:jc w:val="center"/>
        <w:rPr>
          <w:rFonts w:eastAsia="Times New Roman" w:cstheme="minorHAnsi"/>
          <w:b/>
          <w:bCs/>
          <w:color w:val="FF0000"/>
          <w:sz w:val="28"/>
          <w:szCs w:val="28"/>
          <w:lang w:eastAsia="de-DE"/>
        </w:rPr>
      </w:pPr>
      <w:r w:rsidRPr="000816D7">
        <w:rPr>
          <w:rFonts w:eastAsia="Times New Roman" w:cstheme="minorHAnsi"/>
          <w:b/>
          <w:bCs/>
          <w:color w:val="FF0000"/>
          <w:sz w:val="28"/>
          <w:szCs w:val="28"/>
          <w:lang w:eastAsia="de-DE"/>
        </w:rPr>
        <w:t>Maßnahmen bei Erziehungskonflikten</w:t>
      </w:r>
      <w:bookmarkStart w:id="0" w:name="jlr-SchulGBEpP62"/>
      <w:bookmarkEnd w:id="0"/>
      <w:r w:rsidRPr="000816D7">
        <w:rPr>
          <w:rFonts w:eastAsia="Times New Roman" w:cstheme="minorHAnsi"/>
          <w:b/>
          <w:bCs/>
          <w:color w:val="FF0000"/>
          <w:sz w:val="28"/>
          <w:szCs w:val="28"/>
          <w:lang w:eastAsia="de-DE"/>
        </w:rPr>
        <w:t xml:space="preserve"> </w:t>
      </w:r>
    </w:p>
    <w:p w:rsidR="000816D7" w:rsidRPr="000816D7" w:rsidRDefault="000816D7" w:rsidP="000816D7">
      <w:pPr>
        <w:spacing w:before="100" w:beforeAutospacing="1" w:after="0" w:line="240" w:lineRule="auto"/>
        <w:rPr>
          <w:rFonts w:eastAsia="Times New Roman" w:cstheme="minorHAnsi"/>
          <w:b/>
          <w:bCs/>
          <w:color w:val="FF0000"/>
          <w:sz w:val="18"/>
          <w:szCs w:val="18"/>
          <w:lang w:eastAsia="de-DE"/>
        </w:rPr>
      </w:pPr>
      <w:r w:rsidRPr="000816D7">
        <w:rPr>
          <w:rFonts w:eastAsia="Times New Roman" w:cstheme="minorHAnsi"/>
          <w:b/>
          <w:bCs/>
          <w:color w:val="FF0000"/>
          <w:sz w:val="18"/>
          <w:szCs w:val="18"/>
          <w:lang w:eastAsia="de-DE"/>
        </w:rPr>
        <w:t>§ 62</w:t>
      </w:r>
      <w:r w:rsidR="009A5838">
        <w:rPr>
          <w:rFonts w:eastAsia="Times New Roman" w:cstheme="minorHAnsi"/>
          <w:b/>
          <w:bCs/>
          <w:color w:val="FF0000"/>
          <w:sz w:val="18"/>
          <w:szCs w:val="18"/>
          <w:lang w:eastAsia="de-DE"/>
        </w:rPr>
        <w:t xml:space="preserve"> </w:t>
      </w:r>
      <w:r w:rsidRPr="000816D7">
        <w:rPr>
          <w:rFonts w:eastAsia="Times New Roman" w:cstheme="minorHAnsi"/>
          <w:b/>
          <w:bCs/>
          <w:color w:val="FF0000"/>
          <w:sz w:val="18"/>
          <w:szCs w:val="18"/>
          <w:lang w:eastAsia="de-DE"/>
        </w:rPr>
        <w:t>Erziehungsmaßnahmen</w:t>
      </w:r>
    </w:p>
    <w:p w:rsidR="000816D7" w:rsidRPr="000816D7" w:rsidRDefault="000816D7" w:rsidP="000816D7">
      <w:pPr>
        <w:spacing w:before="100" w:beforeAutospacing="1" w:after="0" w:line="240" w:lineRule="auto"/>
        <w:rPr>
          <w:rFonts w:eastAsia="Times New Roman" w:cstheme="minorHAnsi"/>
          <w:color w:val="0070C0"/>
          <w:sz w:val="18"/>
          <w:szCs w:val="18"/>
          <w:lang w:eastAsia="de-DE"/>
        </w:rPr>
      </w:pPr>
      <w:bookmarkStart w:id="1" w:name="P62-A1"/>
      <w:bookmarkEnd w:id="1"/>
      <w:r w:rsidRPr="000816D7">
        <w:rPr>
          <w:rFonts w:eastAsia="Times New Roman" w:cstheme="minorHAnsi"/>
          <w:color w:val="0070C0"/>
          <w:sz w:val="18"/>
          <w:szCs w:val="18"/>
          <w:lang w:eastAsia="de-DE"/>
        </w:rPr>
        <w:t>(1) Die Schule soll bei Konflikten und Störungen in der Unterrichts- und Erziehungsarbeit gegenüber den Schülerinnen und Schülern vorrangig erzieherische Mittel einsetzen. Bei der Lösung von Erziehungskonflikten sind alle beteiligten Personen sowie die Erziehungsberechtigten einzubeziehen.</w:t>
      </w:r>
    </w:p>
    <w:p w:rsidR="000816D7" w:rsidRPr="000816D7" w:rsidRDefault="000816D7" w:rsidP="000816D7">
      <w:pPr>
        <w:spacing w:before="100" w:beforeAutospacing="1" w:after="0" w:line="240" w:lineRule="auto"/>
        <w:rPr>
          <w:rFonts w:eastAsia="Times New Roman" w:cstheme="minorHAnsi"/>
          <w:color w:val="0070C0"/>
          <w:sz w:val="18"/>
          <w:szCs w:val="18"/>
          <w:lang w:eastAsia="de-DE"/>
        </w:rPr>
      </w:pPr>
      <w:bookmarkStart w:id="2" w:name="P62-A2"/>
      <w:bookmarkEnd w:id="2"/>
      <w:r w:rsidRPr="000816D7">
        <w:rPr>
          <w:rFonts w:eastAsia="Times New Roman" w:cstheme="minorHAnsi"/>
          <w:color w:val="0070C0"/>
          <w:sz w:val="18"/>
          <w:szCs w:val="18"/>
          <w:lang w:eastAsia="de-DE"/>
        </w:rPr>
        <w:t>(2) Zu den Maßnahmen bei Erziehungskonflikten und Unterrichtsstörungen gehören insbesondere</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1. das erzieherische Gespräch mit der Schülerin oder dem Schüler,</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2. gemeinsame Absprachen,</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3. der mündliche Tadel,</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4. die Eintragung in das Klassenbuch,</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5. die Wiedergutmachung angerichteten Schadens,</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6.die vorübergehende Einziehung von Gegenständen.</w:t>
      </w:r>
    </w:p>
    <w:p w:rsidR="000816D7" w:rsidRPr="000816D7" w:rsidRDefault="000816D7" w:rsidP="000816D7">
      <w:pPr>
        <w:spacing w:before="100" w:beforeAutospacing="1" w:after="0" w:line="240" w:lineRule="auto"/>
        <w:rPr>
          <w:rFonts w:eastAsia="Times New Roman" w:cstheme="minorHAnsi"/>
          <w:color w:val="0070C0"/>
          <w:sz w:val="18"/>
          <w:szCs w:val="18"/>
          <w:lang w:eastAsia="de-DE"/>
        </w:rPr>
      </w:pPr>
      <w:bookmarkStart w:id="3" w:name="P62-A3"/>
      <w:bookmarkEnd w:id="3"/>
      <w:r w:rsidRPr="000816D7">
        <w:rPr>
          <w:rFonts w:eastAsia="Times New Roman" w:cstheme="minorHAnsi"/>
          <w:color w:val="0070C0"/>
          <w:sz w:val="18"/>
          <w:szCs w:val="18"/>
          <w:lang w:eastAsia="de-DE"/>
        </w:rPr>
        <w:t>(3) Die Lehrkraft entscheidet im Rahmen ihrer pädagogischen Verantwortung unter Beachtung des Grundsatzes der Verhältnismäßigkeit über das erzieherische Mittel, das der jeweiligen Situation sowie dem Alter und der Persönlichkeit der Schülerin oder des Schülers am ehesten gerecht wird. Die Erziehungsberechtigten sind in geeigneter Weise über die gewählten erzieherischen Mittel zu informieren.</w:t>
      </w:r>
    </w:p>
    <w:p w:rsidR="000816D7" w:rsidRPr="000816D7" w:rsidRDefault="000816D7" w:rsidP="000816D7">
      <w:pPr>
        <w:spacing w:before="100" w:beforeAutospacing="1" w:after="0" w:line="240" w:lineRule="auto"/>
        <w:outlineLvl w:val="3"/>
        <w:rPr>
          <w:rFonts w:eastAsia="Times New Roman" w:cstheme="minorHAnsi"/>
          <w:b/>
          <w:bCs/>
          <w:color w:val="FF0000"/>
          <w:sz w:val="18"/>
          <w:szCs w:val="18"/>
          <w:lang w:eastAsia="de-DE"/>
        </w:rPr>
      </w:pPr>
      <w:bookmarkStart w:id="4" w:name="jlr-SchulGBEV1P63"/>
      <w:bookmarkEnd w:id="4"/>
      <w:r w:rsidRPr="000816D7">
        <w:rPr>
          <w:rFonts w:eastAsia="Times New Roman" w:cstheme="minorHAnsi"/>
          <w:b/>
          <w:bCs/>
          <w:color w:val="FF0000"/>
          <w:sz w:val="18"/>
          <w:szCs w:val="18"/>
          <w:lang w:eastAsia="de-DE"/>
        </w:rPr>
        <w:t>§ 63</w:t>
      </w:r>
      <w:r w:rsidR="009A5838">
        <w:rPr>
          <w:rFonts w:eastAsia="Times New Roman" w:cstheme="minorHAnsi"/>
          <w:b/>
          <w:bCs/>
          <w:color w:val="FF0000"/>
          <w:sz w:val="18"/>
          <w:szCs w:val="18"/>
          <w:lang w:eastAsia="de-DE"/>
        </w:rPr>
        <w:t xml:space="preserve"> </w:t>
      </w:r>
      <w:bookmarkStart w:id="5" w:name="_GoBack"/>
      <w:bookmarkEnd w:id="5"/>
      <w:r w:rsidRPr="000816D7">
        <w:rPr>
          <w:rFonts w:eastAsia="Times New Roman" w:cstheme="minorHAnsi"/>
          <w:b/>
          <w:bCs/>
          <w:color w:val="FF0000"/>
          <w:sz w:val="18"/>
          <w:szCs w:val="18"/>
          <w:lang w:eastAsia="de-DE"/>
        </w:rPr>
        <w:t>Ordnungsmaßnahmen</w:t>
      </w:r>
    </w:p>
    <w:p w:rsidR="000816D7" w:rsidRPr="000816D7" w:rsidRDefault="000816D7" w:rsidP="000816D7">
      <w:pPr>
        <w:spacing w:before="100" w:beforeAutospacing="1" w:after="0" w:line="240" w:lineRule="auto"/>
        <w:rPr>
          <w:rFonts w:eastAsia="Times New Roman" w:cstheme="minorHAnsi"/>
          <w:color w:val="0070C0"/>
          <w:sz w:val="18"/>
          <w:szCs w:val="18"/>
          <w:lang w:eastAsia="de-DE"/>
        </w:rPr>
      </w:pPr>
      <w:bookmarkStart w:id="6" w:name="P63-A1"/>
      <w:bookmarkEnd w:id="6"/>
      <w:r w:rsidRPr="000816D7">
        <w:rPr>
          <w:rFonts w:eastAsia="Times New Roman" w:cstheme="minorHAnsi"/>
          <w:color w:val="0070C0"/>
          <w:sz w:val="18"/>
          <w:szCs w:val="18"/>
          <w:lang w:eastAsia="de-DE"/>
        </w:rPr>
        <w:t>(1) Soweit Erziehungsmaßnahmen nach § 62 nicht zu einer Konfliktlösung geführt haben oder keine Aussicht auf Erfolg versprechen, können Ordnungsmaßnahmen unter Wahrung des Grundsatzes der Verhältnismäßigkeit getroffen werden, wenn die Schülerin oder der Schüler die ordnungsgemäße Unterrichts- und Erziehungsarbeit beeinträchtigt oder andere am Schulleben Beteiligte gefährdet. Als nachhaltige Beeinträchtigung der ordnungsgemäßen Unterrichts- und Erziehungsarbeit ist auch ein mehrfaches unentschuldigtes Fernbleiben vom Unterricht anzusehen.</w:t>
      </w:r>
    </w:p>
    <w:p w:rsidR="000816D7" w:rsidRPr="000816D7" w:rsidRDefault="000816D7" w:rsidP="000816D7">
      <w:pPr>
        <w:spacing w:before="100" w:beforeAutospacing="1" w:after="0" w:line="240" w:lineRule="auto"/>
        <w:rPr>
          <w:rFonts w:eastAsia="Times New Roman" w:cstheme="minorHAnsi"/>
          <w:color w:val="0070C0"/>
          <w:sz w:val="18"/>
          <w:szCs w:val="18"/>
          <w:lang w:eastAsia="de-DE"/>
        </w:rPr>
      </w:pPr>
      <w:bookmarkStart w:id="7" w:name="P63-A2"/>
      <w:bookmarkEnd w:id="7"/>
      <w:r w:rsidRPr="000816D7">
        <w:rPr>
          <w:rFonts w:eastAsia="Times New Roman" w:cstheme="minorHAnsi"/>
          <w:color w:val="0070C0"/>
          <w:sz w:val="18"/>
          <w:szCs w:val="18"/>
          <w:lang w:eastAsia="de-DE"/>
        </w:rPr>
        <w:t>(2) Ordnungsmaßnahmen sind</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1.der schriftliche Verweis,</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2.der Ausschluss vom Unterricht und anderen schulischen Veranstaltungen bis zu zehn Schultagen,</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3. die Umsetzung in eine Parallelklasse oder eine andere Unterrichtsgruppe,</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4. die Überweisung in eine andere Schule desselben Bildungsgangs und</w:t>
      </w:r>
    </w:p>
    <w:p w:rsidR="000816D7" w:rsidRPr="000816D7" w:rsidRDefault="000816D7" w:rsidP="000816D7">
      <w:pPr>
        <w:spacing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5. die Entlassung aus der Schule, wenn die Schulpflicht erfüllt ist.</w:t>
      </w:r>
    </w:p>
    <w:p w:rsidR="000816D7" w:rsidRPr="000816D7" w:rsidRDefault="000816D7" w:rsidP="000816D7">
      <w:pPr>
        <w:spacing w:before="100" w:beforeAutospacing="1" w:after="0" w:line="240" w:lineRule="auto"/>
        <w:rPr>
          <w:rFonts w:eastAsia="Times New Roman" w:cstheme="minorHAnsi"/>
          <w:color w:val="0070C0"/>
          <w:sz w:val="18"/>
          <w:szCs w:val="18"/>
          <w:lang w:eastAsia="de-DE"/>
        </w:rPr>
      </w:pPr>
      <w:r w:rsidRPr="000816D7">
        <w:rPr>
          <w:rFonts w:eastAsia="Times New Roman" w:cstheme="minorHAnsi"/>
          <w:color w:val="0070C0"/>
          <w:sz w:val="18"/>
          <w:szCs w:val="18"/>
          <w:lang w:eastAsia="de-DE"/>
        </w:rPr>
        <w:t>Jede Form der körperlichen Züchtigung und andere entwürdigende Maßnahmen sind verboten.</w:t>
      </w:r>
    </w:p>
    <w:p w:rsidR="000816D7" w:rsidRPr="000816D7" w:rsidRDefault="000816D7" w:rsidP="000816D7">
      <w:pPr>
        <w:spacing w:before="100" w:beforeAutospacing="1" w:after="0" w:line="240" w:lineRule="auto"/>
        <w:rPr>
          <w:rFonts w:eastAsia="Times New Roman" w:cstheme="minorHAnsi"/>
          <w:color w:val="0070C0"/>
          <w:sz w:val="18"/>
          <w:szCs w:val="18"/>
          <w:lang w:eastAsia="de-DE"/>
        </w:rPr>
      </w:pPr>
      <w:bookmarkStart w:id="8" w:name="P63-A3"/>
      <w:bookmarkEnd w:id="8"/>
      <w:r w:rsidRPr="000816D7">
        <w:rPr>
          <w:rFonts w:eastAsia="Times New Roman" w:cstheme="minorHAnsi"/>
          <w:color w:val="0070C0"/>
          <w:sz w:val="18"/>
          <w:szCs w:val="18"/>
          <w:lang w:eastAsia="de-DE"/>
        </w:rPr>
        <w:t>(3) Ordnungsmaßnahmen nach Absatz 2 Satz 1 Nr. 4 und 5 dürfen nur bei schwerem oder wiederholtem Fehlverhalten einer Schülerin oder eines Schülers getroffen werden; sie sind in der Regel vorher schriftlich anzudrohen. Die Androhung kann bereits mit einem schriftlichen Verweis verbunden werden.</w:t>
      </w:r>
    </w:p>
    <w:p w:rsidR="000816D7" w:rsidRPr="00480261" w:rsidRDefault="000816D7" w:rsidP="000816D7">
      <w:pPr>
        <w:spacing w:before="100" w:beforeAutospacing="1" w:after="0" w:line="240" w:lineRule="auto"/>
        <w:rPr>
          <w:rFonts w:eastAsia="Times New Roman" w:cstheme="minorHAnsi"/>
          <w:b/>
          <w:color w:val="FF0000"/>
          <w:sz w:val="24"/>
          <w:szCs w:val="24"/>
          <w:lang w:eastAsia="de-DE"/>
        </w:rPr>
      </w:pPr>
      <w:bookmarkStart w:id="9" w:name="P63-A4"/>
      <w:bookmarkEnd w:id="9"/>
      <w:r w:rsidRPr="00480261">
        <w:rPr>
          <w:rFonts w:eastAsia="Times New Roman" w:cstheme="minorHAnsi"/>
          <w:b/>
          <w:color w:val="FF0000"/>
          <w:sz w:val="24"/>
          <w:szCs w:val="24"/>
          <w:lang w:eastAsia="de-DE"/>
        </w:rPr>
        <w:t>(4) Vor der Entscheidung über eine Ordnungsmaßnahme sind die Schülerin oder der Schüler und deren Erziehungsberechtigte zu hören.</w:t>
      </w:r>
    </w:p>
    <w:p w:rsidR="000816D7" w:rsidRPr="000816D7" w:rsidRDefault="000816D7" w:rsidP="000816D7">
      <w:pPr>
        <w:spacing w:before="100" w:beforeAutospacing="1" w:after="0" w:line="240" w:lineRule="auto"/>
        <w:rPr>
          <w:rFonts w:eastAsia="Times New Roman" w:cstheme="minorHAnsi"/>
          <w:color w:val="0070C0"/>
          <w:sz w:val="18"/>
          <w:szCs w:val="18"/>
          <w:lang w:eastAsia="de-DE"/>
        </w:rPr>
      </w:pPr>
      <w:bookmarkStart w:id="10" w:name="P63-A5"/>
      <w:bookmarkEnd w:id="10"/>
      <w:r w:rsidRPr="000816D7">
        <w:rPr>
          <w:rFonts w:eastAsia="Times New Roman" w:cstheme="minorHAnsi"/>
          <w:color w:val="0070C0"/>
          <w:sz w:val="18"/>
          <w:szCs w:val="18"/>
          <w:lang w:eastAsia="de-DE"/>
        </w:rPr>
        <w:t>(5) Über Ordnungsmaßnahmen nach Absatz 2 Satz 1 Nr. 1 und 2 entscheidet die Klassenkonferenz unter Vorsitz der Schulleiterin oder des Schulleiters, über Ordnungsmaßnahmen nach Absatz 2 Satz 1 Nr. 3 die Gesamtkonferenz oder bei Oberstufenzentren die Abteilungskonferenz der Lehrkräfte. Ordnungsmaßnahmen nach Absatz 2 Satz 1 Nr. 4 und 5 werden von der Schulaufsichtsbehörde getroffen; zuvor ist die Schulkonferenz zu hören.</w:t>
      </w:r>
    </w:p>
    <w:p w:rsidR="000816D7" w:rsidRPr="000816D7" w:rsidRDefault="000816D7" w:rsidP="000816D7">
      <w:pPr>
        <w:spacing w:before="100" w:beforeAutospacing="1" w:after="0" w:line="240" w:lineRule="auto"/>
        <w:rPr>
          <w:rFonts w:eastAsia="Times New Roman" w:cstheme="minorHAnsi"/>
          <w:color w:val="0070C0"/>
          <w:sz w:val="18"/>
          <w:szCs w:val="18"/>
          <w:lang w:eastAsia="de-DE"/>
        </w:rPr>
      </w:pPr>
      <w:bookmarkStart w:id="11" w:name="P63-A6"/>
      <w:bookmarkEnd w:id="11"/>
      <w:r w:rsidRPr="000816D7">
        <w:rPr>
          <w:rFonts w:eastAsia="Times New Roman" w:cstheme="minorHAnsi"/>
          <w:color w:val="0070C0"/>
          <w:sz w:val="18"/>
          <w:szCs w:val="18"/>
          <w:lang w:eastAsia="de-DE"/>
        </w:rPr>
        <w:t>(6) In dringenden Fällen kann die Schulleiterin oder der Schulleiter vorläufig bis zu einer Entscheidung nach Absatz 5 eine Regelung im Sinne des Absatzes 2 Satz 1 Nr. 2 und 3 treffen, wenn auf andere Weise die Aufrechterhaltung eines geordneten Schullebens nicht gewährleistet werden kann. Widerspruch und Anfechtungsklage haben keine aufschiebende Wirkung.</w:t>
      </w:r>
    </w:p>
    <w:p w:rsidR="000816D7" w:rsidRPr="000816D7" w:rsidRDefault="000816D7" w:rsidP="000816D7">
      <w:pPr>
        <w:spacing w:before="100" w:beforeAutospacing="1" w:after="0" w:line="240" w:lineRule="auto"/>
        <w:rPr>
          <w:rFonts w:eastAsia="Times New Roman" w:cstheme="minorHAnsi"/>
          <w:color w:val="0070C0"/>
          <w:sz w:val="18"/>
          <w:szCs w:val="18"/>
          <w:lang w:eastAsia="de-DE"/>
        </w:rPr>
      </w:pPr>
      <w:bookmarkStart w:id="12" w:name="P63-A7"/>
      <w:bookmarkEnd w:id="12"/>
      <w:r w:rsidRPr="000816D7">
        <w:rPr>
          <w:rFonts w:eastAsia="Times New Roman" w:cstheme="minorHAnsi"/>
          <w:color w:val="0070C0"/>
          <w:sz w:val="18"/>
          <w:szCs w:val="18"/>
          <w:lang w:eastAsia="de-DE"/>
        </w:rPr>
        <w:t>(7) Die Absätze 1 bis 6 gelten für Teilnehmerinnen und Teilnehmer der Einrichtungen des Zweiten Bildungswegs zum nachträglichen Erwerb allgemein bildender Abschlüsse und für Studierende der Fachschulen mit der Maßgabe entsprechend, dass die Ordnungsmaßnahme nach Absatz 2 Satz 1 Nr. 3 entfällt und an die Stelle der Ordnungsmaßnahmen nach Absatz 2 Satz 1 Nr. 4 und 5 der Ausschluss von der besuchten Einrichtung tritt. Über die Ordnungsmaßnahmen nach Absatz 2 Satz 1 Nr. 1 und 2 entscheidet die Leiterin oder der Leiter der Einrichtung, über den Ausschluss von der besuchten Einrichtung die Schulaufsichtsbehörde.</w:t>
      </w:r>
    </w:p>
    <w:p w:rsidR="00C755B0" w:rsidRDefault="009A5838" w:rsidP="000816D7">
      <w:pPr>
        <w:spacing w:after="0"/>
        <w:rPr>
          <w:rFonts w:cstheme="minorHAnsi"/>
          <w:sz w:val="20"/>
          <w:szCs w:val="20"/>
        </w:rPr>
      </w:pPr>
    </w:p>
    <w:p w:rsidR="00C34AD8" w:rsidRPr="00C34AD8" w:rsidRDefault="00C34AD8" w:rsidP="00C34AD8">
      <w:pPr>
        <w:spacing w:after="0"/>
        <w:rPr>
          <w:rFonts w:cstheme="minorHAnsi"/>
          <w:sz w:val="16"/>
          <w:szCs w:val="16"/>
        </w:rPr>
      </w:pPr>
      <w:r w:rsidRPr="00C34AD8">
        <w:rPr>
          <w:rFonts w:cstheme="minorHAnsi"/>
          <w:sz w:val="16"/>
          <w:szCs w:val="16"/>
        </w:rPr>
        <w:t>Schulgesetz (SchulG)</w:t>
      </w:r>
      <w:r>
        <w:rPr>
          <w:rFonts w:cstheme="minorHAnsi"/>
          <w:sz w:val="16"/>
          <w:szCs w:val="16"/>
        </w:rPr>
        <w:t>/</w:t>
      </w:r>
      <w:r w:rsidRPr="00C34AD8">
        <w:rPr>
          <w:rFonts w:cstheme="minorHAnsi"/>
          <w:sz w:val="16"/>
          <w:szCs w:val="16"/>
        </w:rPr>
        <w:t>26. Januar 2004/ geändert durch Gesetz vom 05.07.2022</w:t>
      </w:r>
    </w:p>
    <w:p w:rsidR="00C34AD8" w:rsidRDefault="00C34AD8" w:rsidP="000816D7">
      <w:pPr>
        <w:spacing w:after="0"/>
        <w:rPr>
          <w:rFonts w:cstheme="minorHAnsi"/>
          <w:sz w:val="20"/>
          <w:szCs w:val="20"/>
        </w:rPr>
      </w:pPr>
    </w:p>
    <w:sectPr w:rsidR="00C34AD8" w:rsidSect="000816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56" w:rsidRDefault="00267B56" w:rsidP="00B03F49">
      <w:pPr>
        <w:spacing w:after="0" w:line="240" w:lineRule="auto"/>
      </w:pPr>
      <w:r>
        <w:separator/>
      </w:r>
    </w:p>
  </w:endnote>
  <w:endnote w:type="continuationSeparator" w:id="0">
    <w:p w:rsidR="00267B56" w:rsidRDefault="00267B56" w:rsidP="00B0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56" w:rsidRDefault="00267B56" w:rsidP="00B03F49">
      <w:pPr>
        <w:spacing w:after="0" w:line="240" w:lineRule="auto"/>
      </w:pPr>
      <w:r>
        <w:separator/>
      </w:r>
    </w:p>
  </w:footnote>
  <w:footnote w:type="continuationSeparator" w:id="0">
    <w:p w:rsidR="00267B56" w:rsidRDefault="00267B56" w:rsidP="00B03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D7"/>
    <w:rsid w:val="000816D7"/>
    <w:rsid w:val="00267B56"/>
    <w:rsid w:val="00480261"/>
    <w:rsid w:val="00484F41"/>
    <w:rsid w:val="00515DE4"/>
    <w:rsid w:val="009A5838"/>
    <w:rsid w:val="00B03F49"/>
    <w:rsid w:val="00C34AD8"/>
    <w:rsid w:val="00CE6D40"/>
    <w:rsid w:val="00DB26B8"/>
    <w:rsid w:val="00E52676"/>
    <w:rsid w:val="00EC7B27"/>
    <w:rsid w:val="00FE3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48FC"/>
  <w15:docId w15:val="{DDE7E6EB-38DF-4C22-AD93-A2D85B4E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C34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16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6D7"/>
    <w:rPr>
      <w:rFonts w:ascii="Tahoma" w:hAnsi="Tahoma" w:cs="Tahoma"/>
      <w:sz w:val="16"/>
      <w:szCs w:val="16"/>
    </w:rPr>
  </w:style>
  <w:style w:type="paragraph" w:styleId="Kopfzeile">
    <w:name w:val="header"/>
    <w:basedOn w:val="Standard"/>
    <w:link w:val="KopfzeileZchn"/>
    <w:uiPriority w:val="99"/>
    <w:unhideWhenUsed/>
    <w:rsid w:val="00B03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F49"/>
  </w:style>
  <w:style w:type="paragraph" w:styleId="Fuzeile">
    <w:name w:val="footer"/>
    <w:basedOn w:val="Standard"/>
    <w:link w:val="FuzeileZchn"/>
    <w:uiPriority w:val="99"/>
    <w:unhideWhenUsed/>
    <w:rsid w:val="00B03F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F49"/>
  </w:style>
  <w:style w:type="character" w:customStyle="1" w:styleId="berschrift3Zchn">
    <w:name w:val="Überschrift 3 Zchn"/>
    <w:basedOn w:val="Absatz-Standardschriftart"/>
    <w:link w:val="berschrift3"/>
    <w:uiPriority w:val="9"/>
    <w:semiHidden/>
    <w:rsid w:val="00C34AD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5387">
      <w:bodyDiv w:val="1"/>
      <w:marLeft w:val="0"/>
      <w:marRight w:val="0"/>
      <w:marTop w:val="0"/>
      <w:marBottom w:val="0"/>
      <w:divBdr>
        <w:top w:val="none" w:sz="0" w:space="0" w:color="auto"/>
        <w:left w:val="none" w:sz="0" w:space="0" w:color="auto"/>
        <w:bottom w:val="none" w:sz="0" w:space="0" w:color="auto"/>
        <w:right w:val="none" w:sz="0" w:space="0" w:color="auto"/>
      </w:divBdr>
      <w:divsChild>
        <w:div w:id="61635334">
          <w:marLeft w:val="0"/>
          <w:marRight w:val="0"/>
          <w:marTop w:val="0"/>
          <w:marBottom w:val="0"/>
          <w:divBdr>
            <w:top w:val="none" w:sz="0" w:space="0" w:color="auto"/>
            <w:left w:val="none" w:sz="0" w:space="0" w:color="auto"/>
            <w:bottom w:val="none" w:sz="0" w:space="0" w:color="auto"/>
            <w:right w:val="none" w:sz="0" w:space="0" w:color="auto"/>
          </w:divBdr>
          <w:divsChild>
            <w:div w:id="1584333747">
              <w:marLeft w:val="0"/>
              <w:marRight w:val="0"/>
              <w:marTop w:val="0"/>
              <w:marBottom w:val="0"/>
              <w:divBdr>
                <w:top w:val="none" w:sz="0" w:space="0" w:color="auto"/>
                <w:left w:val="none" w:sz="0" w:space="0" w:color="auto"/>
                <w:bottom w:val="none" w:sz="0" w:space="0" w:color="auto"/>
                <w:right w:val="none" w:sz="0" w:space="0" w:color="auto"/>
              </w:divBdr>
            </w:div>
          </w:divsChild>
        </w:div>
        <w:div w:id="1154223000">
          <w:marLeft w:val="0"/>
          <w:marRight w:val="0"/>
          <w:marTop w:val="0"/>
          <w:marBottom w:val="0"/>
          <w:divBdr>
            <w:top w:val="none" w:sz="0" w:space="0" w:color="auto"/>
            <w:left w:val="none" w:sz="0" w:space="0" w:color="auto"/>
            <w:bottom w:val="none" w:sz="0" w:space="0" w:color="auto"/>
            <w:right w:val="none" w:sz="0" w:space="0" w:color="auto"/>
          </w:divBdr>
          <w:divsChild>
            <w:div w:id="1120761472">
              <w:marLeft w:val="0"/>
              <w:marRight w:val="0"/>
              <w:marTop w:val="0"/>
              <w:marBottom w:val="0"/>
              <w:divBdr>
                <w:top w:val="none" w:sz="0" w:space="0" w:color="auto"/>
                <w:left w:val="none" w:sz="0" w:space="0" w:color="auto"/>
                <w:bottom w:val="none" w:sz="0" w:space="0" w:color="auto"/>
                <w:right w:val="none" w:sz="0" w:space="0" w:color="auto"/>
              </w:divBdr>
            </w:div>
          </w:divsChild>
        </w:div>
        <w:div w:id="2088307946">
          <w:marLeft w:val="0"/>
          <w:marRight w:val="0"/>
          <w:marTop w:val="0"/>
          <w:marBottom w:val="0"/>
          <w:divBdr>
            <w:top w:val="none" w:sz="0" w:space="0" w:color="auto"/>
            <w:left w:val="none" w:sz="0" w:space="0" w:color="auto"/>
            <w:bottom w:val="none" w:sz="0" w:space="0" w:color="auto"/>
            <w:right w:val="none" w:sz="0" w:space="0" w:color="auto"/>
          </w:divBdr>
          <w:divsChild>
            <w:div w:id="1182938953">
              <w:marLeft w:val="0"/>
              <w:marRight w:val="0"/>
              <w:marTop w:val="0"/>
              <w:marBottom w:val="0"/>
              <w:divBdr>
                <w:top w:val="none" w:sz="0" w:space="0" w:color="auto"/>
                <w:left w:val="none" w:sz="0" w:space="0" w:color="auto"/>
                <w:bottom w:val="none" w:sz="0" w:space="0" w:color="auto"/>
                <w:right w:val="none" w:sz="0" w:space="0" w:color="auto"/>
              </w:divBdr>
            </w:div>
          </w:divsChild>
        </w:div>
        <w:div w:id="357707399">
          <w:marLeft w:val="0"/>
          <w:marRight w:val="0"/>
          <w:marTop w:val="0"/>
          <w:marBottom w:val="0"/>
          <w:divBdr>
            <w:top w:val="none" w:sz="0" w:space="0" w:color="auto"/>
            <w:left w:val="none" w:sz="0" w:space="0" w:color="auto"/>
            <w:bottom w:val="none" w:sz="0" w:space="0" w:color="auto"/>
            <w:right w:val="none" w:sz="0" w:space="0" w:color="auto"/>
          </w:divBdr>
          <w:divsChild>
            <w:div w:id="20449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4850">
      <w:bodyDiv w:val="1"/>
      <w:marLeft w:val="0"/>
      <w:marRight w:val="0"/>
      <w:marTop w:val="0"/>
      <w:marBottom w:val="0"/>
      <w:divBdr>
        <w:top w:val="none" w:sz="0" w:space="0" w:color="auto"/>
        <w:left w:val="none" w:sz="0" w:space="0" w:color="auto"/>
        <w:bottom w:val="none" w:sz="0" w:space="0" w:color="auto"/>
        <w:right w:val="none" w:sz="0" w:space="0" w:color="auto"/>
      </w:divBdr>
      <w:divsChild>
        <w:div w:id="2032992993">
          <w:marLeft w:val="0"/>
          <w:marRight w:val="0"/>
          <w:marTop w:val="0"/>
          <w:marBottom w:val="0"/>
          <w:divBdr>
            <w:top w:val="none" w:sz="0" w:space="0" w:color="auto"/>
            <w:left w:val="none" w:sz="0" w:space="0" w:color="auto"/>
            <w:bottom w:val="none" w:sz="0" w:space="0" w:color="auto"/>
            <w:right w:val="none" w:sz="0" w:space="0" w:color="auto"/>
          </w:divBdr>
          <w:divsChild>
            <w:div w:id="1696661924">
              <w:marLeft w:val="-300"/>
              <w:marRight w:val="0"/>
              <w:marTop w:val="60"/>
              <w:marBottom w:val="0"/>
              <w:divBdr>
                <w:top w:val="none" w:sz="0" w:space="0" w:color="auto"/>
                <w:left w:val="none" w:sz="0" w:space="0" w:color="auto"/>
                <w:bottom w:val="none" w:sz="0" w:space="0" w:color="auto"/>
                <w:right w:val="none" w:sz="0" w:space="0" w:color="auto"/>
              </w:divBdr>
            </w:div>
          </w:divsChild>
        </w:div>
        <w:div w:id="1285884163">
          <w:marLeft w:val="0"/>
          <w:marRight w:val="0"/>
          <w:marTop w:val="0"/>
          <w:marBottom w:val="0"/>
          <w:divBdr>
            <w:top w:val="none" w:sz="0" w:space="0" w:color="auto"/>
            <w:left w:val="none" w:sz="0" w:space="0" w:color="auto"/>
            <w:bottom w:val="none" w:sz="0" w:space="0" w:color="auto"/>
            <w:right w:val="none" w:sz="0" w:space="0" w:color="auto"/>
          </w:divBdr>
          <w:divsChild>
            <w:div w:id="1991210785">
              <w:marLeft w:val="0"/>
              <w:marRight w:val="0"/>
              <w:marTop w:val="0"/>
              <w:marBottom w:val="0"/>
              <w:divBdr>
                <w:top w:val="none" w:sz="0" w:space="0" w:color="auto"/>
                <w:left w:val="none" w:sz="0" w:space="0" w:color="auto"/>
                <w:bottom w:val="none" w:sz="0" w:space="0" w:color="auto"/>
                <w:right w:val="none" w:sz="0" w:space="0" w:color="auto"/>
              </w:divBdr>
              <w:divsChild>
                <w:div w:id="2340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6DD3-89DF-493E-A08B-99A1C9FF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MslH2</dc:creator>
  <cp:lastModifiedBy>Kundel, Katrin</cp:lastModifiedBy>
  <cp:revision>3</cp:revision>
  <cp:lastPrinted>2017-03-16T08:00:00Z</cp:lastPrinted>
  <dcterms:created xsi:type="dcterms:W3CDTF">2022-11-07T13:23:00Z</dcterms:created>
  <dcterms:modified xsi:type="dcterms:W3CDTF">2022-11-07T13:24:00Z</dcterms:modified>
</cp:coreProperties>
</file>